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Calibri" w:cs="Calibri" w:eastAsia="Calibri" w:hAnsi="Calibri"/>
          <w:b/>
          <w:bCs/>
          <w:color w:val="00A651"/>
          <w:sz w:val="40"/>
          <w:szCs w:val="40"/>
        </w:rPr>
        <w:t xml:space="preserve">7</w:t>
      </w:r>
      <w:r>
        <w:rPr>
          <w:rFonts w:ascii="Calibri" w:cs="Calibri" w:eastAsia="Calibri" w:hAnsi="Calibri"/>
          <w:b/>
          <w:bCs/>
          <w:color w:val="0D1B3D"/>
          <w:sz w:val="40"/>
          <w:szCs w:val="40"/>
        </w:rPr>
        <w:t xml:space="preserve">IT </w:t>
      </w:r>
      <w:r>
        <w:rPr>
          <w:rFonts w:ascii="Calibri" w:cs="Calibri" w:eastAsia="Calibri" w:hAnsi="Calibri"/>
          <w:b/>
          <w:bCs/>
          <w:color w:val="00A651"/>
          <w:spacing w:val="60"/>
          <w:sz w:val="20"/>
          <w:szCs w:val="20"/>
        </w:rPr>
        <w:t xml:space="preserve">GROUP</w:t>
      </w:r>
    </w:p>
    <w:p>
      <w:pPr>
        <w:pBdr>
          <w:bottom w:val="single" w:color="D0D5DD" w:sz="4" w:space="6"/>
        </w:pBdr>
        <w:spacing w:after="360"/>
      </w:pPr>
      <w:r>
        <w:rPr>
          <w:rFonts w:ascii="Calibri" w:cs="Calibri" w:eastAsia="Calibri" w:hAnsi="Calibri"/>
          <w:color w:val="5A6478"/>
          <w:spacing w:val="60"/>
          <w:sz w:val="16"/>
          <w:szCs w:val="16"/>
        </w:rPr>
        <w:t xml:space="preserve">CONNECT • SECURE • EVOLVE</w:t>
      </w:r>
    </w:p>
    <w:p>
      <w:pPr>
        <w:spacing w:after="80"/>
      </w:pPr>
      <w:r>
        <w:rPr>
          <w:rFonts w:ascii="Calibri" w:cs="Calibri" w:eastAsia="Calibri" w:hAnsi="Calibri"/>
          <w:b/>
          <w:bCs/>
          <w:color w:val="0D1B3D"/>
          <w:sz w:val="44"/>
          <w:szCs w:val="44"/>
        </w:rPr>
        <w:t xml:space="preserve">Charte d’usage de l’intelligence artificielle</w:t>
      </w:r>
    </w:p>
    <w:p>
      <w:pPr>
        <w:spacing w:after="200"/>
      </w:pPr>
      <w:r>
        <w:rPr>
          <w:rFonts w:ascii="Calibri" w:cs="Calibri" w:eastAsia="Calibri" w:hAnsi="Calibri"/>
          <w:color w:val="00843F"/>
          <w:sz w:val="24"/>
          <w:szCs w:val="24"/>
        </w:rPr>
        <w:t xml:space="preserve">Modèle pour encadrer l’utilisation des outils d’IA générative</w:t>
      </w:r>
    </w:p>
    <w:p>
      <w:pPr>
        <w:pBdr>
          <w:left w:val="single" w:color="00A651" w:sz="24" w:space="8"/>
        </w:pBdr>
        <w:shd w:fill="E8F6EE" w:color="auto" w:val="clear"/>
        <w:spacing w:after="240" w:before="120"/>
        <w:ind w:left="160" w:right="160"/>
      </w:pPr>
      <w:r>
        <w:rPr>
          <w:rFonts w:ascii="Calibri" w:cs="Calibri" w:eastAsia="Calibri" w:hAnsi="Calibri"/>
          <w:i/>
          <w:iCs/>
          <w:color w:val="243049"/>
          <w:sz w:val="20"/>
          <w:szCs w:val="20"/>
        </w:rPr>
        <w:t xml:space="preserve">Mode d’emploi : adaptez la liste des outils autorisés et des données interdites à votre activité, désignez un référent, puis diffusez la charte avec une courte formation.</w:t>
      </w:r>
    </w:p>
    <w:p>
      <w:pPr>
        <w:pStyle w:val="Heading1"/>
      </w:pPr>
      <w:r>
        <w:t xml:space="preserve">1. Pourquoi cette charte ?</w:t>
      </w:r>
    </w:p>
    <w:p>
      <w:pPr>
        <w:spacing w:after="140"/>
      </w:pPr>
      <w:r>
        <w:rPr>
          <w:rFonts w:ascii="Calibri" w:cs="Calibri" w:eastAsia="Calibri" w:hAnsi="Calibri"/>
          <w:color w:val="243049"/>
        </w:rPr>
        <w:t xml:space="preserve">Les outils d’intelligence artificielle générative (Microsoft 365 Copilot, assistants conversationnels…) peuvent faire gagner beaucoup de temps. Utilisés sans règles, ils peuvent aussi exposer des informations confidentielles ou produire des contenus inexacts. Cette charte fixe un cadre simple pour en profiter en toute sécurité chez </w:t>
      </w:r>
      <w:r>
        <w:rPr>
          <w:rFonts w:ascii="Calibri" w:cs="Calibri" w:eastAsia="Calibri" w:hAnsi="Calibri"/>
          <w:b/>
          <w:bCs/>
          <w:color w:val="0D1B3D"/>
          <w:highlight w:val="yellow"/>
          <w:highlightCs w:val="yellow"/>
        </w:rPr>
        <w:t xml:space="preserve">[NOM DE L’ENTREPRISE]</w:t>
      </w:r>
      <w:r>
        <w:rPr>
          <w:rFonts w:ascii="Calibri" w:cs="Calibri" w:eastAsia="Calibri" w:hAnsi="Calibri"/>
          <w:color w:val="243049"/>
        </w:rPr>
        <w:t xml:space="preserve">.</w:t>
      </w:r>
    </w:p>
    <w:p>
      <w:pPr>
        <w:pStyle w:val="Heading1"/>
      </w:pPr>
      <w:r>
        <w:t xml:space="preserve">2. Outils autorisés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3855"/>
        <w:gridCol w:w="3277"/>
      </w:tblGrid>
      <w:tr>
        <w:trPr>
          <w:tblHeader/>
        </w:trPr>
        <w:tc>
          <w:tcPr>
            <w:tcW w:type="dxa" w:w="2506"/>
            <w:tcBorders>
              <w:top w:val="single" w:color="D0D5DD" w:sz="4"/>
              <w:left w:val="single" w:color="D0D5DD" w:sz="4"/>
              <w:bottom w:val="single" w:color="D0D5DD" w:sz="4"/>
              <w:right w:val="single" w:color="D0D5DD" w:sz="4"/>
            </w:tcBorders>
            <w:shd w:fill="0D1B3D" w:color="auto" w:val="clear"/>
            <w:tcMar>
              <w:top w:type="dxa" w:w="80"/>
              <w:left w:type="dxa" w:w="110"/>
              <w:bottom w:type="dxa" w:w="80"/>
              <w:right w:type="dxa" w:w="110"/>
            </w:tcMar>
          </w:tcPr>
          <w:p>
            <w:r>
              <w:rPr>
                <w:rFonts w:ascii="Calibri" w:cs="Calibri" w:eastAsia="Calibri" w:hAnsi="Calibri"/>
                <w:b/>
                <w:bCs/>
                <w:color w:val="FFFFFF"/>
                <w:sz w:val="20"/>
                <w:szCs w:val="20"/>
              </w:rPr>
              <w:t xml:space="preserve">Outil</w:t>
            </w:r>
          </w:p>
        </w:tc>
        <w:tc>
          <w:tcPr>
            <w:tcW w:type="dxa" w:w="3855"/>
            <w:tcBorders>
              <w:top w:val="single" w:color="D0D5DD" w:sz="4"/>
              <w:left w:val="single" w:color="D0D5DD" w:sz="4"/>
              <w:bottom w:val="single" w:color="D0D5DD" w:sz="4"/>
              <w:right w:val="single" w:color="D0D5DD" w:sz="4"/>
            </w:tcBorders>
            <w:shd w:fill="0D1B3D" w:color="auto" w:val="clear"/>
            <w:tcMar>
              <w:top w:type="dxa" w:w="80"/>
              <w:left w:type="dxa" w:w="110"/>
              <w:bottom w:type="dxa" w:w="80"/>
              <w:right w:type="dxa" w:w="110"/>
            </w:tcMar>
          </w:tcPr>
          <w:p>
            <w:r>
              <w:rPr>
                <w:rFonts w:ascii="Calibri" w:cs="Calibri" w:eastAsia="Calibri" w:hAnsi="Calibri"/>
                <w:b/>
                <w:bCs/>
                <w:color w:val="FFFFFF"/>
                <w:sz w:val="20"/>
                <w:szCs w:val="20"/>
              </w:rPr>
              <w:t xml:space="preserve">Usages autorisés</w:t>
            </w:r>
          </w:p>
        </w:tc>
        <w:tc>
          <w:tcPr>
            <w:tcW w:type="dxa" w:w="3277"/>
            <w:tcBorders>
              <w:top w:val="single" w:color="D0D5DD" w:sz="4"/>
              <w:left w:val="single" w:color="D0D5DD" w:sz="4"/>
              <w:bottom w:val="single" w:color="D0D5DD" w:sz="4"/>
              <w:right w:val="single" w:color="D0D5DD" w:sz="4"/>
            </w:tcBorders>
            <w:shd w:fill="0D1B3D" w:color="auto" w:val="clear"/>
            <w:tcMar>
              <w:top w:type="dxa" w:w="80"/>
              <w:left w:type="dxa" w:w="110"/>
              <w:bottom w:type="dxa" w:w="80"/>
              <w:right w:type="dxa" w:w="110"/>
            </w:tcMar>
          </w:tcPr>
          <w:p>
            <w:r>
              <w:rPr>
                <w:rFonts w:ascii="Calibri" w:cs="Calibri" w:eastAsia="Calibri" w:hAnsi="Calibri"/>
                <w:b/>
                <w:bCs/>
                <w:color w:val="FFFFFF"/>
                <w:sz w:val="20"/>
                <w:szCs w:val="20"/>
              </w:rPr>
              <w:t xml:space="preserve">Données autorisées</w:t>
            </w:r>
          </w:p>
        </w:tc>
      </w:tr>
      <w:tr>
        <w:trPr>
          <w:trHeight w:val="440" w:hRule="atLeast"/>
        </w:trPr>
        <w:tc>
          <w:tcPr>
            <w:tcW w:type="dxa" w:w="2506"/>
            <w:tcBorders>
              <w:top w:val="single" w:color="D0D5DD" w:sz="4"/>
              <w:left w:val="single" w:color="D0D5DD" w:sz="4"/>
              <w:bottom w:val="single" w:color="D0D5DD" w:sz="4"/>
              <w:right w:val="single" w:color="D0D5DD" w:sz="4"/>
            </w:tcBorders>
            <w:tcMar>
              <w:top w:type="dxa" w:w="80"/>
              <w:left w:type="dxa" w:w="110"/>
              <w:bottom w:type="dxa" w:w="80"/>
              <w:right w:type="dxa" w:w="110"/>
            </w:tcMar>
          </w:tcPr>
          <w:p>
            <w:r>
              <w:rPr>
                <w:rFonts w:ascii="Calibri" w:cs="Calibri" w:eastAsia="Calibri" w:hAnsi="Calibri"/>
                <w:b/>
                <w:bCs/>
                <w:color w:val="0D1B3D"/>
                <w:sz w:val="20"/>
                <w:szCs w:val="20"/>
                <w:highlight w:val="yellow"/>
                <w:highlightCs w:val="yellow"/>
              </w:rPr>
              <w:t xml:space="preserve">[Microsoft 365 Copilot]</w:t>
            </w:r>
          </w:p>
        </w:tc>
        <w:tc>
          <w:tcPr>
            <w:tcW w:type="dxa" w:w="3855"/>
            <w:tcBorders>
              <w:top w:val="single" w:color="D0D5DD" w:sz="4"/>
              <w:left w:val="single" w:color="D0D5DD" w:sz="4"/>
              <w:bottom w:val="single" w:color="D0D5DD" w:sz="4"/>
              <w:right w:val="single" w:color="D0D5DD" w:sz="4"/>
            </w:tcBorders>
            <w:tcMar>
              <w:top w:type="dxa" w:w="80"/>
              <w:left w:type="dxa" w:w="110"/>
              <w:bottom w:type="dxa" w:w="80"/>
              <w:right w:type="dxa" w:w="110"/>
            </w:tcMar>
          </w:tcPr>
          <w:p>
            <w:r>
              <w:rPr>
                <w:rFonts w:ascii="Calibri" w:cs="Calibri" w:eastAsia="Calibri" w:hAnsi="Calibri"/>
                <w:b/>
                <w:bCs/>
                <w:color w:val="0D1B3D"/>
                <w:sz w:val="20"/>
                <w:szCs w:val="20"/>
                <w:highlight w:val="yellow"/>
                <w:highlightCs w:val="yellow"/>
              </w:rPr>
              <w:t xml:space="preserve">[Rédaction, synthèse, recherche dans nos documents]</w:t>
            </w:r>
          </w:p>
        </w:tc>
        <w:tc>
          <w:tcPr>
            <w:tcW w:type="dxa" w:w="3277"/>
            <w:tcBorders>
              <w:top w:val="single" w:color="D0D5DD" w:sz="4"/>
              <w:left w:val="single" w:color="D0D5DD" w:sz="4"/>
              <w:bottom w:val="single" w:color="D0D5DD" w:sz="4"/>
              <w:right w:val="single" w:color="D0D5DD" w:sz="4"/>
            </w:tcBorders>
            <w:tcMar>
              <w:top w:type="dxa" w:w="80"/>
              <w:left w:type="dxa" w:w="110"/>
              <w:bottom w:type="dxa" w:w="80"/>
              <w:right w:type="dxa" w:w="110"/>
            </w:tcMar>
          </w:tcPr>
          <w:p>
            <w:r>
              <w:rPr>
                <w:rFonts w:ascii="Calibri" w:cs="Calibri" w:eastAsia="Calibri" w:hAnsi="Calibri"/>
                <w:b/>
                <w:bCs/>
                <w:color w:val="0D1B3D"/>
                <w:sz w:val="20"/>
                <w:szCs w:val="20"/>
                <w:highlight w:val="yellow"/>
                <w:highlightCs w:val="yellow"/>
              </w:rPr>
              <w:t xml:space="preserve">[Données internes, dans la limite des droits de l’utilisateur]</w:t>
            </w:r>
          </w:p>
        </w:tc>
      </w:tr>
      <w:tr>
        <w:trPr>
          <w:trHeight w:val="440" w:hRule="atLeast"/>
        </w:trPr>
        <w:tc>
          <w:tcPr>
            <w:tcW w:type="dxa" w:w="2506"/>
            <w:tcBorders>
              <w:top w:val="single" w:color="D0D5DD" w:sz="4"/>
              <w:left w:val="single" w:color="D0D5DD" w:sz="4"/>
              <w:bottom w:val="single" w:color="D0D5DD" w:sz="4"/>
              <w:right w:val="single" w:color="D0D5DD" w:sz="4"/>
            </w:tcBorders>
            <w:tcMar>
              <w:top w:type="dxa" w:w="80"/>
              <w:left w:type="dxa" w:w="110"/>
              <w:bottom w:type="dxa" w:w="80"/>
              <w:right w:type="dxa" w:w="110"/>
            </w:tcMar>
          </w:tcPr>
          <w:p>
            <w:r>
              <w:rPr>
                <w:rFonts w:ascii="Calibri" w:cs="Calibri" w:eastAsia="Calibri" w:hAnsi="Calibri"/>
                <w:b/>
                <w:bCs/>
                <w:color w:val="0D1B3D"/>
                <w:sz w:val="20"/>
                <w:szCs w:val="20"/>
                <w:highlight w:val="yellow"/>
                <w:highlightCs w:val="yellow"/>
              </w:rPr>
              <w:t xml:space="preserve">[Autre outil]</w:t>
            </w:r>
          </w:p>
        </w:tc>
        <w:tc>
          <w:tcPr>
            <w:tcW w:type="dxa" w:w="3855"/>
            <w:tcBorders>
              <w:top w:val="single" w:color="D0D5DD" w:sz="4"/>
              <w:left w:val="single" w:color="D0D5DD" w:sz="4"/>
              <w:bottom w:val="single" w:color="D0D5DD" w:sz="4"/>
              <w:right w:val="single" w:color="D0D5DD" w:sz="4"/>
            </w:tcBorders>
            <w:tcMar>
              <w:top w:type="dxa" w:w="80"/>
              <w:left w:type="dxa" w:w="110"/>
              <w:bottom w:type="dxa" w:w="80"/>
              <w:right w:type="dxa" w:w="110"/>
            </w:tcMar>
          </w:tcPr>
          <w:p/>
        </w:tc>
        <w:tc>
          <w:tcPr>
            <w:tcW w:type="dxa" w:w="3277"/>
            <w:tcBorders>
              <w:top w:val="single" w:color="D0D5DD" w:sz="4"/>
              <w:left w:val="single" w:color="D0D5DD" w:sz="4"/>
              <w:bottom w:val="single" w:color="D0D5DD" w:sz="4"/>
              <w:right w:val="single" w:color="D0D5DD" w:sz="4"/>
            </w:tcBorders>
            <w:tcMar>
              <w:top w:type="dxa" w:w="80"/>
              <w:left w:type="dxa" w:w="110"/>
              <w:bottom w:type="dxa" w:w="80"/>
              <w:right w:type="dxa" w:w="110"/>
            </w:tcMar>
          </w:tcPr>
          <w:p/>
        </w:tc>
      </w:tr>
      <w:tr>
        <w:trPr>
          <w:trHeight w:val="440" w:hRule="atLeast"/>
        </w:trPr>
        <w:tc>
          <w:tcPr>
            <w:tcW w:type="dxa" w:w="2506"/>
            <w:tcBorders>
              <w:top w:val="single" w:color="D0D5DD" w:sz="4"/>
              <w:left w:val="single" w:color="D0D5DD" w:sz="4"/>
              <w:bottom w:val="single" w:color="D0D5DD" w:sz="4"/>
              <w:right w:val="single" w:color="D0D5DD" w:sz="4"/>
            </w:tcBorders>
            <w:tcMar>
              <w:top w:type="dxa" w:w="80"/>
              <w:left w:type="dxa" w:w="110"/>
              <w:bottom w:type="dxa" w:w="80"/>
              <w:right w:type="dxa" w:w="110"/>
            </w:tcMar>
          </w:tcPr>
          <w:p>
            <w:r>
              <w:rPr>
                <w:rFonts w:ascii="Calibri" w:cs="Calibri" w:eastAsia="Calibri" w:hAnsi="Calibri"/>
                <w:b/>
                <w:bCs/>
                <w:color w:val="0D1B3D"/>
                <w:sz w:val="20"/>
                <w:szCs w:val="20"/>
                <w:highlight w:val="yellow"/>
                <w:highlightCs w:val="yellow"/>
              </w:rPr>
              <w:t xml:space="preserve">[Autre outil]</w:t>
            </w:r>
          </w:p>
        </w:tc>
        <w:tc>
          <w:tcPr>
            <w:tcW w:type="dxa" w:w="3855"/>
            <w:tcBorders>
              <w:top w:val="single" w:color="D0D5DD" w:sz="4"/>
              <w:left w:val="single" w:color="D0D5DD" w:sz="4"/>
              <w:bottom w:val="single" w:color="D0D5DD" w:sz="4"/>
              <w:right w:val="single" w:color="D0D5DD" w:sz="4"/>
            </w:tcBorders>
            <w:tcMar>
              <w:top w:type="dxa" w:w="80"/>
              <w:left w:type="dxa" w:w="110"/>
              <w:bottom w:type="dxa" w:w="80"/>
              <w:right w:type="dxa" w:w="110"/>
            </w:tcMar>
          </w:tcPr>
          <w:p/>
        </w:tc>
        <w:tc>
          <w:tcPr>
            <w:tcW w:type="dxa" w:w="3277"/>
            <w:tcBorders>
              <w:top w:val="single" w:color="D0D5DD" w:sz="4"/>
              <w:left w:val="single" w:color="D0D5DD" w:sz="4"/>
              <w:bottom w:val="single" w:color="D0D5DD" w:sz="4"/>
              <w:right w:val="single" w:color="D0D5DD" w:sz="4"/>
            </w:tcBorders>
            <w:tcMar>
              <w:top w:type="dxa" w:w="80"/>
              <w:left w:type="dxa" w:w="110"/>
              <w:bottom w:type="dxa" w:w="80"/>
              <w:right w:type="dxa" w:w="110"/>
            </w:tcMar>
          </w:tcPr>
          <w:p/>
        </w:tc>
      </w:tr>
    </w:tbl>
    <w:p>
      <w:pPr>
        <w:spacing w:after="120"/>
      </w:pPr>
    </w:p>
    <w:p>
      <w:pPr>
        <w:spacing w:after="140"/>
      </w:pPr>
      <w:r>
        <w:rPr>
          <w:rFonts w:ascii="Calibri" w:cs="Calibri" w:eastAsia="Calibri" w:hAnsi="Calibri"/>
          <w:color w:val="243049"/>
        </w:rPr>
        <w:t xml:space="preserve">Tout autre outil d’IA doit être validé par </w:t>
      </w:r>
      <w:r>
        <w:rPr>
          <w:rFonts w:ascii="Calibri" w:cs="Calibri" w:eastAsia="Calibri" w:hAnsi="Calibri"/>
          <w:b/>
          <w:bCs/>
          <w:color w:val="0D1B3D"/>
          <w:highlight w:val="yellow"/>
          <w:highlightCs w:val="yellow"/>
        </w:rPr>
        <w:t xml:space="preserve">[RÉFÉRENT IA]</w:t>
      </w:r>
      <w:r>
        <w:rPr>
          <w:rFonts w:ascii="Calibri" w:cs="Calibri" w:eastAsia="Calibri" w:hAnsi="Calibri"/>
          <w:color w:val="243049"/>
        </w:rPr>
        <w:t xml:space="preserve"> avant utilisation avec des données de l’entreprise. Les comptes personnels ne sont pas utilisés pour le travail.</w:t>
      </w:r>
    </w:p>
    <w:p>
      <w:pPr>
        <w:pStyle w:val="Heading1"/>
      </w:pPr>
      <w:r>
        <w:t xml:space="preserve">3. Ce qu’on ne confie jamais à une IA non validée</w:t>
      </w:r>
    </w:p>
    <w:p>
      <w:pPr>
        <w:pStyle w:val="ListParagraph"/>
        <w:numPr>
          <w:ilvl w:val="0"/>
          <w:numId w:val="2"/>
        </w:numPr>
        <w:spacing w:after="80"/>
      </w:pPr>
      <w:r>
        <w:rPr>
          <w:rFonts w:ascii="Calibri" w:cs="Calibri" w:eastAsia="Calibri" w:hAnsi="Calibri"/>
          <w:color w:val="243049"/>
        </w:rPr>
        <w:t xml:space="preserve">Les données personnelles de clients, de collaborateurs ou de candidats.</w:t>
      </w:r>
    </w:p>
    <w:p>
      <w:pPr>
        <w:pStyle w:val="ListParagraph"/>
        <w:numPr>
          <w:ilvl w:val="0"/>
          <w:numId w:val="2"/>
        </w:numPr>
        <w:spacing w:after="80"/>
      </w:pPr>
      <w:r>
        <w:rPr>
          <w:rFonts w:ascii="Calibri" w:cs="Calibri" w:eastAsia="Calibri" w:hAnsi="Calibri"/>
          <w:color w:val="243049"/>
        </w:rPr>
        <w:t xml:space="preserve">Les informations confidentielles : contrats, prix, stratégie, données financières, secrets de fabrication.</w:t>
      </w:r>
    </w:p>
    <w:p>
      <w:pPr>
        <w:pStyle w:val="ListParagraph"/>
        <w:numPr>
          <w:ilvl w:val="0"/>
          <w:numId w:val="2"/>
        </w:numPr>
        <w:spacing w:after="80"/>
      </w:pPr>
      <w:r>
        <w:rPr>
          <w:rFonts w:ascii="Calibri" w:cs="Calibri" w:eastAsia="Calibri" w:hAnsi="Calibri"/>
          <w:color w:val="243049"/>
        </w:rPr>
        <w:t xml:space="preserve">Les mots de passe, clés d’accès et informations de sécurité.</w:t>
      </w:r>
    </w:p>
    <w:p>
      <w:pPr>
        <w:pStyle w:val="ListParagraph"/>
        <w:numPr>
          <w:ilvl w:val="0"/>
          <w:numId w:val="2"/>
        </w:numPr>
        <w:spacing w:after="80"/>
      </w:pPr>
      <w:r>
        <w:rPr>
          <w:rFonts w:ascii="Calibri" w:cs="Calibri" w:eastAsia="Calibri" w:hAnsi="Calibri"/>
          <w:color w:val="243049"/>
        </w:rPr>
        <w:t xml:space="preserve">Les documents reçus de clients ou de partenaires sous engagement de confidentialité.</w:t>
      </w:r>
    </w:p>
    <w:p>
      <w:pPr>
        <w:pStyle w:val="Heading1"/>
      </w:pPr>
      <w:r>
        <w:t xml:space="preserve">4. Règles d’utilisation</w:t>
      </w:r>
    </w:p>
    <w:p>
      <w:pPr>
        <w:pStyle w:val="ListParagraph"/>
        <w:numPr>
          <w:ilvl w:val="0"/>
          <w:numId w:val="2"/>
        </w:numPr>
        <w:spacing w:after="80"/>
      </w:pPr>
      <w:r>
        <w:rPr>
          <w:rFonts w:ascii="Calibri" w:cs="Calibri" w:eastAsia="Calibri" w:hAnsi="Calibri"/>
          <w:color w:val="243049"/>
        </w:rPr>
        <w:t xml:space="preserve">L’utilisateur reste responsable du résultat : il relit, vérifie les faits, les chiffres et les sources avant toute diffusion.</w:t>
      </w:r>
    </w:p>
    <w:p>
      <w:pPr>
        <w:pStyle w:val="ListParagraph"/>
        <w:numPr>
          <w:ilvl w:val="0"/>
          <w:numId w:val="2"/>
        </w:numPr>
        <w:spacing w:after="80"/>
      </w:pPr>
      <w:r>
        <w:rPr>
          <w:rFonts w:ascii="Calibri" w:cs="Calibri" w:eastAsia="Calibri" w:hAnsi="Calibri"/>
          <w:color w:val="243049"/>
        </w:rPr>
        <w:t xml:space="preserve">Aucune décision concernant une personne (recrutement, évaluation, crédit…) n’est prise sur la seule base d’une réponse d’IA.</w:t>
      </w:r>
    </w:p>
    <w:p>
      <w:pPr>
        <w:pStyle w:val="ListParagraph"/>
        <w:numPr>
          <w:ilvl w:val="0"/>
          <w:numId w:val="2"/>
        </w:numPr>
        <w:spacing w:after="80"/>
      </w:pPr>
      <w:r>
        <w:rPr>
          <w:rFonts w:ascii="Calibri" w:cs="Calibri" w:eastAsia="Calibri" w:hAnsi="Calibri"/>
          <w:color w:val="243049"/>
        </w:rPr>
        <w:t xml:space="preserve">Les contenus publiés respectent les droits d’auteur et l’image de l’entreprise.</w:t>
      </w:r>
    </w:p>
    <w:p>
      <w:pPr>
        <w:pStyle w:val="ListParagraph"/>
        <w:numPr>
          <w:ilvl w:val="0"/>
          <w:numId w:val="2"/>
        </w:numPr>
        <w:spacing w:after="80"/>
      </w:pPr>
      <w:r>
        <w:rPr>
          <w:rFonts w:ascii="Calibri" w:cs="Calibri" w:eastAsia="Calibri" w:hAnsi="Calibri"/>
          <w:color w:val="243049"/>
        </w:rPr>
        <w:t xml:space="preserve">Quand c’est utile pour le destinataire, on indique qu’un contenu a été préparé avec l’aide de l’IA.</w:t>
      </w:r>
    </w:p>
    <w:p>
      <w:pPr>
        <w:pStyle w:val="Heading1"/>
      </w:pPr>
      <w:r>
        <w:t xml:space="preserve">5. Bonnes pratiques</w:t>
      </w:r>
    </w:p>
    <w:p>
      <w:pPr>
        <w:pStyle w:val="ListParagraph"/>
        <w:numPr>
          <w:ilvl w:val="0"/>
          <w:numId w:val="2"/>
        </w:numPr>
        <w:spacing w:after="80"/>
      </w:pPr>
      <w:r>
        <w:rPr>
          <w:rFonts w:ascii="Calibri" w:cs="Calibri" w:eastAsia="Calibri" w:hAnsi="Calibri"/>
          <w:color w:val="243049"/>
        </w:rPr>
        <w:t xml:space="preserve">Formuler des demandes précises : contexte, objectif, format attendu, public visé.</w:t>
      </w:r>
    </w:p>
    <w:p>
      <w:pPr>
        <w:pStyle w:val="ListParagraph"/>
        <w:numPr>
          <w:ilvl w:val="0"/>
          <w:numId w:val="2"/>
        </w:numPr>
        <w:spacing w:after="80"/>
      </w:pPr>
      <w:r>
        <w:rPr>
          <w:rFonts w:ascii="Calibri" w:cs="Calibri" w:eastAsia="Calibri" w:hAnsi="Calibri"/>
          <w:color w:val="243049"/>
        </w:rPr>
        <w:t xml:space="preserve">Fournir des exemples plutôt que de longues explications.</w:t>
      </w:r>
    </w:p>
    <w:p>
      <w:pPr>
        <w:pStyle w:val="ListParagraph"/>
        <w:numPr>
          <w:ilvl w:val="0"/>
          <w:numId w:val="2"/>
        </w:numPr>
        <w:spacing w:after="80"/>
      </w:pPr>
      <w:r>
        <w:rPr>
          <w:rFonts w:ascii="Calibri" w:cs="Calibri" w:eastAsia="Calibri" w:hAnsi="Calibri"/>
          <w:color w:val="243049"/>
        </w:rPr>
        <w:t xml:space="preserve">Demander à l’IA de citer ses sources et de signaler ses incertitudes.</w:t>
      </w:r>
    </w:p>
    <w:p>
      <w:pPr>
        <w:pStyle w:val="ListParagraph"/>
        <w:numPr>
          <w:ilvl w:val="0"/>
          <w:numId w:val="2"/>
        </w:numPr>
        <w:spacing w:after="80"/>
      </w:pPr>
      <w:r>
        <w:rPr>
          <w:rFonts w:ascii="Calibri" w:cs="Calibri" w:eastAsia="Calibri" w:hAnsi="Calibri"/>
          <w:color w:val="243049"/>
        </w:rPr>
        <w:t xml:space="preserve">Partager les bonnes idées d’usage avec ses collègues et le référent.</w:t>
      </w:r>
    </w:p>
    <w:p>
      <w:pPr>
        <w:pStyle w:val="Heading1"/>
      </w:pPr>
      <w:r>
        <w:t xml:space="preserve">6. Référent et suivi</w:t>
      </w:r>
    </w:p>
    <w:p>
      <w:pPr>
        <w:spacing w:after="140"/>
      </w:pPr>
      <w:r>
        <w:rPr>
          <w:rFonts w:ascii="Calibri" w:cs="Calibri" w:eastAsia="Calibri" w:hAnsi="Calibri"/>
          <w:b/>
          <w:bCs/>
          <w:color w:val="0D1B3D"/>
          <w:highlight w:val="yellow"/>
          <w:highlightCs w:val="yellow"/>
        </w:rPr>
        <w:t xml:space="preserve">[RÉFÉRENT IA – NOM – CONTACT]</w:t>
      </w:r>
      <w:r>
        <w:rPr>
          <w:rFonts w:ascii="Calibri" w:cs="Calibri" w:eastAsia="Calibri" w:hAnsi="Calibri"/>
          <w:color w:val="243049"/>
        </w:rPr>
        <w:t xml:space="preserve"> répond aux questions, valide les nouveaux outils et fait évoluer cette charte. Un point est fait tous les </w:t>
      </w:r>
      <w:r>
        <w:rPr>
          <w:rFonts w:ascii="Calibri" w:cs="Calibri" w:eastAsia="Calibri" w:hAnsi="Calibri"/>
          <w:b/>
          <w:bCs/>
          <w:color w:val="0D1B3D"/>
          <w:highlight w:val="yellow"/>
          <w:highlightCs w:val="yellow"/>
        </w:rPr>
        <w:t xml:space="preserve">[6]</w:t>
      </w:r>
      <w:r>
        <w:rPr>
          <w:rFonts w:ascii="Calibri" w:cs="Calibri" w:eastAsia="Calibri" w:hAnsi="Calibri"/>
          <w:color w:val="243049"/>
        </w:rPr>
        <w:t xml:space="preserve"> mois sur les usages, les gains obtenus et les risques observés.</w:t>
      </w:r>
    </w:p>
    <w:p>
      <w:pPr>
        <w:pStyle w:val="Heading1"/>
      </w:pPr>
      <w:r>
        <w:t xml:space="preserve">7. Engagement</w:t>
      </w:r>
    </w:p>
    <w:p>
      <w:pPr>
        <w:spacing w:after="140"/>
      </w:pPr>
      <w:r>
        <w:rPr>
          <w:rFonts w:ascii="Calibri" w:cs="Calibri" w:eastAsia="Calibri" w:hAnsi="Calibri"/>
          <w:color w:val="243049"/>
        </w:rPr>
        <w:t xml:space="preserve">Je reconnais avoir lu la présente charte et m’engage à la respecter.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rPr>
          <w:trHeight w:val="620" w:hRule="atLeast"/>
        </w:trPr>
        <w:tc>
          <w:tcPr>
            <w:tcW w:type="dxa" w:w="2891"/>
            <w:tcBorders>
              <w:top w:val="single" w:color="D0D5DD" w:sz="4"/>
              <w:left w:val="single" w:color="D0D5DD" w:sz="4"/>
              <w:bottom w:val="single" w:color="D0D5DD" w:sz="4"/>
              <w:right w:val="single" w:color="D0D5DD" w:sz="4"/>
            </w:tcBorders>
            <w:shd w:fill="F5F7FA" w:color="auto" w:val="clear"/>
            <w:tcMar>
              <w:top w:type="dxa" w:w="80"/>
              <w:left w:type="dxa" w:w="110"/>
              <w:bottom w:type="dxa" w:w="80"/>
              <w:right w:type="dxa" w:w="110"/>
            </w:tcMar>
          </w:tcPr>
          <w:p>
            <w:r>
              <w:rPr>
                <w:rFonts w:ascii="Calibri" w:cs="Calibri" w:eastAsia="Calibri" w:hAnsi="Calibri"/>
                <w:b/>
                <w:bCs/>
                <w:color w:val="0D1B3D"/>
                <w:sz w:val="20"/>
                <w:szCs w:val="20"/>
              </w:rPr>
              <w:t xml:space="preserve">Nom et prénom</w:t>
            </w:r>
          </w:p>
        </w:tc>
        <w:tc>
          <w:tcPr>
            <w:tcW w:type="dxa" w:w="6747"/>
            <w:tcBorders>
              <w:top w:val="single" w:color="D0D5DD" w:sz="4"/>
              <w:left w:val="single" w:color="D0D5DD" w:sz="4"/>
              <w:bottom w:val="single" w:color="D0D5DD" w:sz="4"/>
              <w:right w:val="single" w:color="D0D5DD" w:sz="4"/>
            </w:tcBorders>
          </w:tcPr>
          <w:p>
            <w:r>
              <w:t xml:space="preserve"/>
            </w:r>
          </w:p>
        </w:tc>
      </w:tr>
      <w:tr>
        <w:trPr>
          <w:trHeight w:val="620" w:hRule="atLeast"/>
        </w:trPr>
        <w:tc>
          <w:tcPr>
            <w:tcW w:type="dxa" w:w="2891"/>
            <w:tcBorders>
              <w:top w:val="single" w:color="D0D5DD" w:sz="4"/>
              <w:left w:val="single" w:color="D0D5DD" w:sz="4"/>
              <w:bottom w:val="single" w:color="D0D5DD" w:sz="4"/>
              <w:right w:val="single" w:color="D0D5DD" w:sz="4"/>
            </w:tcBorders>
            <w:shd w:fill="F5F7FA" w:color="auto" w:val="clear"/>
            <w:tcMar>
              <w:top w:type="dxa" w:w="80"/>
              <w:left w:type="dxa" w:w="110"/>
              <w:bottom w:type="dxa" w:w="80"/>
              <w:right w:type="dxa" w:w="110"/>
            </w:tcMar>
          </w:tcPr>
          <w:p>
            <w:r>
              <w:rPr>
                <w:rFonts w:ascii="Calibri" w:cs="Calibri" w:eastAsia="Calibri" w:hAnsi="Calibri"/>
                <w:b/>
                <w:bCs/>
                <w:color w:val="0D1B3D"/>
                <w:sz w:val="20"/>
                <w:szCs w:val="20"/>
              </w:rPr>
              <w:t xml:space="preserve">Fonction</w:t>
            </w:r>
          </w:p>
        </w:tc>
        <w:tc>
          <w:tcPr>
            <w:tcW w:type="dxa" w:w="6747"/>
            <w:tcBorders>
              <w:top w:val="single" w:color="D0D5DD" w:sz="4"/>
              <w:left w:val="single" w:color="D0D5DD" w:sz="4"/>
              <w:bottom w:val="single" w:color="D0D5DD" w:sz="4"/>
              <w:right w:val="single" w:color="D0D5DD" w:sz="4"/>
            </w:tcBorders>
          </w:tcPr>
          <w:p>
            <w:r>
              <w:t xml:space="preserve"/>
            </w:r>
          </w:p>
        </w:tc>
      </w:tr>
      <w:tr>
        <w:trPr>
          <w:trHeight w:val="620" w:hRule="atLeast"/>
        </w:trPr>
        <w:tc>
          <w:tcPr>
            <w:tcW w:type="dxa" w:w="2891"/>
            <w:tcBorders>
              <w:top w:val="single" w:color="D0D5DD" w:sz="4"/>
              <w:left w:val="single" w:color="D0D5DD" w:sz="4"/>
              <w:bottom w:val="single" w:color="D0D5DD" w:sz="4"/>
              <w:right w:val="single" w:color="D0D5DD" w:sz="4"/>
            </w:tcBorders>
            <w:shd w:fill="F5F7FA" w:color="auto" w:val="clear"/>
            <w:tcMar>
              <w:top w:type="dxa" w:w="80"/>
              <w:left w:type="dxa" w:w="110"/>
              <w:bottom w:type="dxa" w:w="80"/>
              <w:right w:type="dxa" w:w="110"/>
            </w:tcMar>
          </w:tcPr>
          <w:p>
            <w:r>
              <w:rPr>
                <w:rFonts w:ascii="Calibri" w:cs="Calibri" w:eastAsia="Calibri" w:hAnsi="Calibri"/>
                <w:b/>
                <w:bCs/>
                <w:color w:val="0D1B3D"/>
                <w:sz w:val="20"/>
                <w:szCs w:val="20"/>
              </w:rPr>
              <w:t xml:space="preserve">Date</w:t>
            </w:r>
          </w:p>
        </w:tc>
        <w:tc>
          <w:tcPr>
            <w:tcW w:type="dxa" w:w="6747"/>
            <w:tcBorders>
              <w:top w:val="single" w:color="D0D5DD" w:sz="4"/>
              <w:left w:val="single" w:color="D0D5DD" w:sz="4"/>
              <w:bottom w:val="single" w:color="D0D5DD" w:sz="4"/>
              <w:right w:val="single" w:color="D0D5DD" w:sz="4"/>
            </w:tcBorders>
          </w:tcPr>
          <w:p>
            <w:r>
              <w:t xml:space="preserve"/>
            </w:r>
          </w:p>
        </w:tc>
      </w:tr>
      <w:tr>
        <w:trPr>
          <w:trHeight w:val="620" w:hRule="atLeast"/>
        </w:trPr>
        <w:tc>
          <w:tcPr>
            <w:tcW w:type="dxa" w:w="2891"/>
            <w:tcBorders>
              <w:top w:val="single" w:color="D0D5DD" w:sz="4"/>
              <w:left w:val="single" w:color="D0D5DD" w:sz="4"/>
              <w:bottom w:val="single" w:color="D0D5DD" w:sz="4"/>
              <w:right w:val="single" w:color="D0D5DD" w:sz="4"/>
            </w:tcBorders>
            <w:shd w:fill="F5F7FA" w:color="auto" w:val="clear"/>
            <w:tcMar>
              <w:top w:type="dxa" w:w="80"/>
              <w:left w:type="dxa" w:w="110"/>
              <w:bottom w:type="dxa" w:w="80"/>
              <w:right w:type="dxa" w:w="110"/>
            </w:tcMar>
          </w:tcPr>
          <w:p>
            <w:r>
              <w:rPr>
                <w:rFonts w:ascii="Calibri" w:cs="Calibri" w:eastAsia="Calibri" w:hAnsi="Calibri"/>
                <w:b/>
                <w:bCs/>
                <w:color w:val="0D1B3D"/>
                <w:sz w:val="20"/>
                <w:szCs w:val="20"/>
              </w:rPr>
              <w:t xml:space="preserve">Signature</w:t>
            </w:r>
          </w:p>
        </w:tc>
        <w:tc>
          <w:tcPr>
            <w:tcW w:type="dxa" w:w="6747"/>
            <w:tcBorders>
              <w:top w:val="single" w:color="D0D5DD" w:sz="4"/>
              <w:left w:val="single" w:color="D0D5DD" w:sz="4"/>
              <w:bottom w:val="single" w:color="D0D5DD" w:sz="4"/>
              <w:right w:val="single" w:color="D0D5DD" w:sz="4"/>
            </w:tcBorders>
          </w:tcPr>
          <w:p>
            <w:r>
              <w:t xml:space="preserve"/>
            </w:r>
          </w:p>
        </w:tc>
      </w:tr>
    </w:tbl>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A6478"/>
        <w:sz w:val="16"/>
        <w:szCs w:val="16"/>
      </w:rPr>
      <w:t xml:space="preserve">Modèle proposé par 7IT Group · www.7itgroup.com · contact@7itgroup.com · page </w:t>
    </w:r>
    <w:r>
      <w:rPr>
        <w:rFonts w:ascii="Calibri" w:cs="Calibri" w:eastAsia="Calibri" w:hAnsi="Calibri"/>
        <w:color w:val="5A647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A6478"/>
        <w:sz w:val="16"/>
        <w:szCs w:val="16"/>
      </w:rPr>
      <w:t xml:space="preserve">7IT Group · Charte d’usage de l’intelligence artificielle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00A65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43049"/>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pBdr>
        <w:bottom w:val="single" w:color="00A651" w:sz="6" w:space="4"/>
      </w:pBdr>
      <w:spacing w:after="140" w:before="320"/>
      <w:outlineLvl w:val="0"/>
    </w:pPr>
    <w:rPr>
      <w:rFonts w:ascii="Calibri" w:cs="Calibri" w:eastAsia="Calibri" w:hAnsi="Calibri"/>
      <w:b/>
      <w:bCs/>
      <w:color w:val="0D1B3D"/>
      <w:sz w:val="28"/>
      <w:szCs w:val="28"/>
    </w:rPr>
  </w:style>
  <w:style w:type="paragraph" w:styleId="Heading2">
    <w:name w:val="Heading 2"/>
    <w:basedOn w:val="Normal"/>
    <w:next w:val="Normal"/>
    <w:qFormat/>
    <w:pPr>
      <w:keepNext/>
      <w:spacing w:after="100" w:before="200"/>
      <w:outlineLvl w:val="1"/>
    </w:pPr>
    <w:rPr>
      <w:rFonts w:ascii="Calibri" w:cs="Calibri" w:eastAsia="Calibri" w:hAnsi="Calibri"/>
      <w:b/>
      <w:bCs/>
      <w:color w:val="00843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 d’usage de l’intelligence artificielle</dc:title>
  <dc:creator>7IT Group</dc:creator>
  <dc:description>Modèle pour encadrer l’utilisation des outils d’IA générative</dc:description>
  <cp:lastModifiedBy>Un-named</cp:lastModifiedBy>
  <cp:revision>1</cp:revision>
  <dcterms:created xsi:type="dcterms:W3CDTF">2026-09-26T21:55:10.928Z</dcterms:created>
  <dcterms:modified xsi:type="dcterms:W3CDTF">2026-09-26T21:55:10.928Z</dcterms:modified>
</cp:coreProperties>
</file>

<file path=docProps/custom.xml><?xml version="1.0" encoding="utf-8"?>
<Properties xmlns="http://schemas.openxmlformats.org/officeDocument/2006/custom-properties" xmlns:vt="http://schemas.openxmlformats.org/officeDocument/2006/docPropsVTypes"/>
</file>