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alibri" w:cs="Calibri" w:eastAsia="Calibri" w:hAnsi="Calibri"/>
          <w:b/>
          <w:bCs/>
          <w:color w:val="00A651"/>
          <w:sz w:val="40"/>
          <w:szCs w:val="40"/>
        </w:rPr>
        <w:t xml:space="preserve">7</w:t>
      </w:r>
      <w:r>
        <w:rPr>
          <w:rFonts w:ascii="Calibri" w:cs="Calibri" w:eastAsia="Calibri" w:hAnsi="Calibri"/>
          <w:b/>
          <w:bCs/>
          <w:color w:val="0D1B3D"/>
          <w:sz w:val="40"/>
          <w:szCs w:val="40"/>
        </w:rPr>
        <w:t xml:space="preserve">IT </w:t>
      </w:r>
      <w:r>
        <w:rPr>
          <w:rFonts w:ascii="Calibri" w:cs="Calibri" w:eastAsia="Calibri" w:hAnsi="Calibri"/>
          <w:b/>
          <w:bCs/>
          <w:color w:val="00A651"/>
          <w:spacing w:val="60"/>
          <w:sz w:val="20"/>
          <w:szCs w:val="20"/>
        </w:rPr>
        <w:t xml:space="preserve">GROUP</w:t>
      </w:r>
    </w:p>
    <w:p>
      <w:pPr>
        <w:pBdr>
          <w:bottom w:val="single" w:color="D0D5DD" w:sz="4" w:space="6"/>
        </w:pBdr>
        <w:spacing w:after="360"/>
      </w:pPr>
      <w:r>
        <w:rPr>
          <w:rFonts w:ascii="Calibri" w:cs="Calibri" w:eastAsia="Calibri" w:hAnsi="Calibri"/>
          <w:color w:val="5A6478"/>
          <w:spacing w:val="60"/>
          <w:sz w:val="16"/>
          <w:szCs w:val="16"/>
        </w:rPr>
        <w:t xml:space="preserve">CONNECT • SECURE • EVOLVE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D1B3D"/>
          <w:sz w:val="44"/>
          <w:szCs w:val="44"/>
        </w:rPr>
        <w:t xml:space="preserve">Plan de réponse aux incidents de sécurité</w:t>
      </w:r>
    </w:p>
    <w:p>
      <w:pPr>
        <w:spacing w:after="200"/>
      </w:pPr>
      <w:r>
        <w:rPr>
          <w:rFonts w:ascii="Calibri" w:cs="Calibri" w:eastAsia="Calibri" w:hAnsi="Calibri"/>
          <w:color w:val="00843F"/>
          <w:sz w:val="24"/>
          <w:szCs w:val="24"/>
        </w:rPr>
        <w:t xml:space="preserve">Modèle à compléter, à imprimer et à garder à portée de main</w:t>
      </w:r>
    </w:p>
    <w:p>
      <w:pPr>
        <w:pBdr>
          <w:left w:val="single" w:color="00A651" w:sz="24" w:space="8"/>
        </w:pBdr>
        <w:shd w:fill="E8F6EE" w:color="auto" w:val="clear"/>
        <w:spacing w:after="240" w:before="120"/>
        <w:ind w:left="160" w:right="160"/>
      </w:pPr>
      <w:r>
        <w:rPr>
          <w:rFonts w:ascii="Calibri" w:cs="Calibri" w:eastAsia="Calibri" w:hAnsi="Calibri"/>
          <w:i/>
          <w:iCs/>
          <w:color w:val="243049"/>
          <w:sz w:val="20"/>
          <w:szCs w:val="20"/>
        </w:rPr>
        <w:t xml:space="preserve">Mode d’emploi : complétez les tableaux, imprimez ce plan et conservez-en une copie hors du réseau informatique (une cyberattaque peut rendre vos fichiers inaccessibles). Testez-le au moins une fois par an lors d’un exercice.</w:t>
      </w:r>
    </w:p>
    <w:p>
      <w:pPr>
        <w:pStyle w:val="Heading1"/>
      </w:pPr>
      <w:r>
        <w:t xml:space="preserve">1. Objet</w:t>
      </w:r>
    </w:p>
    <w:p>
      <w:pPr>
        <w:spacing w:after="140"/>
      </w:pPr>
      <w:r>
        <w:rPr>
          <w:rFonts w:ascii="Calibri" w:cs="Calibri" w:eastAsia="Calibri" w:hAnsi="Calibri"/>
          <w:color w:val="243049"/>
        </w:rPr>
        <w:t xml:space="preserve">Ce plan décrit qui fait quoi, et dans quel ordre, lorsqu’un incident de sécurité touche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[NOM DE L’ENTREPRISE]</w:t>
      </w:r>
      <w:r>
        <w:rPr>
          <w:rFonts w:ascii="Calibri" w:cs="Calibri" w:eastAsia="Calibri" w:hAnsi="Calibri"/>
          <w:color w:val="243049"/>
        </w:rPr>
        <w:t xml:space="preserve"> : rançongiciel, piratage de compte, fuite de données, virus, vol de matériel, panne majeure.</w:t>
      </w:r>
    </w:p>
    <w:p>
      <w:pPr>
        <w:pStyle w:val="Heading1"/>
      </w:pPr>
      <w:r>
        <w:t xml:space="preserve">2. Équipe de réponse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2120"/>
        <w:gridCol w:w="2120"/>
        <w:gridCol w:w="2121"/>
      </w:tblGrid>
      <w:tr>
        <w:trPr>
          <w:tblHeader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Rôle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Téléphone</w:t>
            </w:r>
          </w:p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Suppléant</w:t>
            </w:r>
          </w:p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Responsable de l’incident (décide)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Référent informatique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Direction générale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Communication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Juridique / protection des données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Prestataire informatique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7IT Group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+237 671 59 84 67</w:t>
            </w:r>
          </w:p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contact@7itgroup.com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3. Niveaux de gravité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42"/>
        <w:gridCol w:w="4241"/>
        <w:gridCol w:w="1735"/>
        <w:gridCol w:w="2120"/>
      </w:tblGrid>
      <w:tr>
        <w:trPr>
          <w:tblHeader/>
        </w:trPr>
        <w:tc>
          <w:tcPr>
            <w:tcW w:type="dxa" w:w="154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Niveau</w:t>
            </w:r>
          </w:p>
        </w:tc>
        <w:tc>
          <w:tcPr>
            <w:tcW w:type="dxa" w:w="424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Exemples</w:t>
            </w:r>
          </w:p>
        </w:tc>
        <w:tc>
          <w:tcPr>
            <w:tcW w:type="dxa" w:w="173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Délai de réaction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Qui prévenir</w:t>
            </w:r>
          </w:p>
        </w:tc>
      </w:tr>
      <w:tr>
        <w:trPr>
          <w:trHeight w:val="440" w:hRule="atLeast"/>
        </w:trPr>
        <w:tc>
          <w:tcPr>
            <w:tcW w:type="dxa" w:w="154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Faible</w:t>
            </w:r>
          </w:p>
        </w:tc>
        <w:tc>
          <w:tcPr>
            <w:tcW w:type="dxa" w:w="424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Message d’hameçonnage reçu mais non ouvert, virus bloqué par l’antivirus</w:t>
            </w:r>
          </w:p>
        </w:tc>
        <w:tc>
          <w:tcPr>
            <w:tcW w:type="dxa" w:w="173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Dans la journée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Référent informatique</w:t>
            </w:r>
          </w:p>
        </w:tc>
      </w:tr>
      <w:tr>
        <w:trPr>
          <w:trHeight w:val="440" w:hRule="atLeast"/>
        </w:trPr>
        <w:tc>
          <w:tcPr>
            <w:tcW w:type="dxa" w:w="154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Moyen</w:t>
            </w:r>
          </w:p>
        </w:tc>
        <w:tc>
          <w:tcPr>
            <w:tcW w:type="dxa" w:w="424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Clic sur un lien suspect, poste infecté, perte d’un smartphone</w:t>
            </w:r>
          </w:p>
        </w:tc>
        <w:tc>
          <w:tcPr>
            <w:tcW w:type="dxa" w:w="173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Dans l’heure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Référent + responsable</w:t>
            </w:r>
          </w:p>
        </w:tc>
      </w:tr>
      <w:tr>
        <w:trPr>
          <w:trHeight w:val="440" w:hRule="atLeast"/>
        </w:trPr>
        <w:tc>
          <w:tcPr>
            <w:tcW w:type="dxa" w:w="154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Élevé</w:t>
            </w:r>
          </w:p>
        </w:tc>
        <w:tc>
          <w:tcPr>
            <w:tcW w:type="dxa" w:w="424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Compte piraté, fuite de données limitée, serveur inaccessible</w:t>
            </w:r>
          </w:p>
        </w:tc>
        <w:tc>
          <w:tcPr>
            <w:tcW w:type="dxa" w:w="173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Immédiat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Équipe de réponse</w:t>
            </w:r>
          </w:p>
        </w:tc>
      </w:tr>
      <w:tr>
        <w:trPr>
          <w:trHeight w:val="440" w:hRule="atLeast"/>
        </w:trPr>
        <w:tc>
          <w:tcPr>
            <w:tcW w:type="dxa" w:w="154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Critique</w:t>
            </w:r>
          </w:p>
        </w:tc>
        <w:tc>
          <w:tcPr>
            <w:tcW w:type="dxa" w:w="424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Rançongiciel, fuite massive de données, arrêt de l’activité</w:t>
            </w:r>
          </w:p>
        </w:tc>
        <w:tc>
          <w:tcPr>
            <w:tcW w:type="dxa" w:w="173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Immédiat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Équipe + direction + prestataire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4. Les réflexes immédiats (rançongiciel ou piratage)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Débrancher du réseau (câble et Wi-Fi) les appareils touchés, sans les éteindre : les preuves restent en mémoire.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Prévenir immédiatement le responsable de l’incident et le prestataire informatique.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Ne pas payer de rançon et ne pas contacter les attaquants.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Changer les mots de passe des comptes concernés depuis un appareil sain.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Noter l’heure, ce qui a été vu, ce qui a été fait (journal ci-dessous).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Ne rien supprimer : fichiers, messages et journaux serviront à l’analyse.</w:t>
      </w:r>
    </w:p>
    <w:p>
      <w:pPr>
        <w:pStyle w:val="Heading1"/>
      </w:pPr>
      <w:r>
        <w:t xml:space="preserve">5. Les six étapes de la réponse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7518"/>
      </w:tblGrid>
      <w:tr>
        <w:trPr>
          <w:tblHeader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Actions principales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1. Détecter et signaler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Recevoir l’alerte, ouvrir le journal de l’incident, prévenir le responsable.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2. Qualifier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Identifier ce qui est touché (postes, comptes, données) et fixer le niveau de gravité.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3. Contenir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Isoler les appareils, bloquer les comptes compromis, couper les accès externes si besoin.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4. Éradiquer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Supprimer la cause : logiciel malveillant, faille, accès frauduleux. Corriger la vulnérabilité.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5. Restaurer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Remettre en service à partir de sauvegardes saines, vérifier, surveiller de près.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6. Tirer les leçons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Réunion de retour d’expérience sous 15 jours, plan d’amélioration, mise à jour de ce plan.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6. Communication et obligations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Communication interne : un seul porte-parole, des messages factuels, pas de spéculation.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Clients et partenaires : les informer si leurs données ou leurs services sont concernés, avec des consignes claires.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En Europe, une violation de données personnelles présentant un risque doit être notifiée à l’autorité de protection des données dans les 72 heures (RGPD).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Au Cameroun, vérifiez vos obligations au titre de la loi n° 2024/017 relative à la protection des données à caractère personnel, et signalez les incidents de cybersécurité à l’ANTIC.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Prévenir votre assureur si vous disposez d’une assurance cyber, et déposer plainte le cas échéant.</w:t>
      </w:r>
    </w:p>
    <w:p>
      <w:pPr>
        <w:pStyle w:val="Heading1"/>
      </w:pPr>
      <w:r>
        <w:t xml:space="preserve">7. Contacts utiles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3662"/>
        <w:gridCol w:w="2699"/>
      </w:tblGrid>
      <w:tr>
        <w:trPr>
          <w:tblHeader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Organisme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Contact</w:t>
            </w:r>
          </w:p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Numéro de contrat / dossier</w:t>
            </w:r>
          </w:p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Prestataire informatique : 7IT Group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contact@7itgroup.com · WhatsApp +237 671 59 84 67</w:t>
            </w:r>
          </w:p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Assurance cyber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Banque (fraude au virement)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Opérateur internet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Autorité de protection des données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Police / gendarmerie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pStyle w:val="Heading1"/>
      </w:pPr>
      <w:r>
        <w:t xml:space="preserve">8. Journal de l’incident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5590"/>
        <w:gridCol w:w="1928"/>
      </w:tblGrid>
      <w:tr>
        <w:trPr>
          <w:tblHeader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Date et heure</w:t>
            </w:r>
          </w:p>
        </w:tc>
        <w:tc>
          <w:tcPr>
            <w:tcW w:type="dxa" w:w="559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Constat ou action</w:t>
            </w:r>
          </w:p>
        </w:tc>
        <w:tc>
          <w:tcPr>
            <w:tcW w:type="dxa" w:w="192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Par qui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559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559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559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559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559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pStyle w:val="Heading1"/>
      </w:pPr>
      <w:r>
        <w:t xml:space="preserve">9. Après l’incident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Que s’est-il passé, et depuis quand ?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Qu’est-ce qui a bien fonctionné, qu’est-ce qui a manqué ?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Quelles mesures pour éviter que cela se reproduise, avec quel responsable et quelle échéance ?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Ce plan doit-il être mis à jour ?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478"/>
        <w:sz w:val="16"/>
        <w:szCs w:val="16"/>
      </w:rPr>
      <w:t xml:space="preserve">Modèle proposé par 7IT Group · www.7itgroup.com · contact@7itgroup.com · page </w:t>
    </w:r>
    <w:r>
      <w:rPr>
        <w:rFonts w:ascii="Calibri" w:cs="Calibri" w:eastAsia="Calibri" w:hAnsi="Calibri"/>
        <w:color w:val="5A647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A6478"/>
        <w:sz w:val="16"/>
        <w:szCs w:val="16"/>
      </w:rPr>
      <w:t xml:space="preserve">7IT Group · Plan de réponse aux incidents de sécurité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A65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04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00A651" w:sz="6" w:space="4"/>
      </w:pBdr>
      <w:spacing w:after="140" w:before="320"/>
      <w:outlineLvl w:val="0"/>
    </w:pPr>
    <w:rPr>
      <w:rFonts w:ascii="Calibri" w:cs="Calibri" w:eastAsia="Calibri" w:hAnsi="Calibri"/>
      <w:b/>
      <w:bCs/>
      <w:color w:val="0D1B3D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00"/>
      <w:outlineLvl w:val="1"/>
    </w:pPr>
    <w:rPr>
      <w:rFonts w:ascii="Calibri" w:cs="Calibri" w:eastAsia="Calibri" w:hAnsi="Calibri"/>
      <w:b/>
      <w:bCs/>
      <w:color w:val="00843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réponse aux incidents de sécurité</dc:title>
  <dc:creator>7IT Group</dc:creator>
  <dc:description>Modèle à compléter, à imprimer et à garder à portée de main</dc:description>
  <cp:lastModifiedBy>Un-named</cp:lastModifiedBy>
  <cp:revision>1</cp:revision>
  <dcterms:created xsi:type="dcterms:W3CDTF">2026-09-26T21:55:10.746Z</dcterms:created>
  <dcterms:modified xsi:type="dcterms:W3CDTF">2026-09-26T21:55:10.746Z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