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Calibri" w:cs="Calibri" w:eastAsia="Calibri" w:hAnsi="Calibri"/>
          <w:b/>
          <w:bCs/>
          <w:color w:val="00A651"/>
          <w:sz w:val="40"/>
          <w:szCs w:val="40"/>
        </w:rPr>
        <w:t xml:space="preserve">7</w:t>
      </w:r>
      <w:r>
        <w:rPr>
          <w:rFonts w:ascii="Calibri" w:cs="Calibri" w:eastAsia="Calibri" w:hAnsi="Calibri"/>
          <w:b/>
          <w:bCs/>
          <w:color w:val="0D1B3D"/>
          <w:sz w:val="40"/>
          <w:szCs w:val="40"/>
        </w:rPr>
        <w:t xml:space="preserve">IT </w:t>
      </w:r>
      <w:r>
        <w:rPr>
          <w:rFonts w:ascii="Calibri" w:cs="Calibri" w:eastAsia="Calibri" w:hAnsi="Calibri"/>
          <w:b/>
          <w:bCs/>
          <w:color w:val="00A651"/>
          <w:spacing w:val="60"/>
          <w:sz w:val="20"/>
          <w:szCs w:val="20"/>
        </w:rPr>
        <w:t xml:space="preserve">GROUP</w:t>
      </w:r>
    </w:p>
    <w:p>
      <w:pPr>
        <w:pBdr>
          <w:bottom w:val="single" w:color="D0D5DD" w:sz="4" w:space="6"/>
        </w:pBdr>
        <w:spacing w:after="360"/>
      </w:pPr>
      <w:r>
        <w:rPr>
          <w:rFonts w:ascii="Calibri" w:cs="Calibri" w:eastAsia="Calibri" w:hAnsi="Calibri"/>
          <w:color w:val="5A6478"/>
          <w:spacing w:val="60"/>
          <w:sz w:val="16"/>
          <w:szCs w:val="16"/>
        </w:rPr>
        <w:t xml:space="preserve">CONNECT • SECURE • EVOLVE</w:t>
      </w:r>
    </w:p>
    <w:p>
      <w:pPr>
        <w:spacing w:after="80"/>
      </w:pPr>
      <w:r>
        <w:rPr>
          <w:rFonts w:ascii="Calibri" w:cs="Calibri" w:eastAsia="Calibri" w:hAnsi="Calibri"/>
          <w:b/>
          <w:bCs/>
          <w:color w:val="0D1B3D"/>
          <w:sz w:val="44"/>
          <w:szCs w:val="44"/>
        </w:rPr>
        <w:t xml:space="preserve">IT Acceptable Use Policy</w:t>
      </w:r>
    </w:p>
    <w:p>
      <w:pPr>
        <w:spacing w:after="200"/>
      </w:pPr>
      <w:r>
        <w:rPr>
          <w:rFonts w:ascii="Calibri" w:cs="Calibri" w:eastAsia="Calibri" w:hAnsi="Calibri"/>
          <w:color w:val="00843F"/>
          <w:sz w:val="24"/>
          <w:szCs w:val="24"/>
        </w:rPr>
        <w:t xml:space="preserve">Template to adapt to your organization</w:t>
      </w:r>
    </w:p>
    <w:p>
      <w:pPr>
        <w:pBdr>
          <w:left w:val="single" w:color="00A651" w:sz="24" w:space="8"/>
        </w:pBdr>
        <w:shd w:fill="E8F6EE" w:color="auto" w:val="clear"/>
        <w:spacing w:after="240" w:before="120"/>
        <w:ind w:left="160" w:right="160"/>
      </w:pPr>
      <w:r>
        <w:rPr>
          <w:rFonts w:ascii="Calibri" w:cs="Calibri" w:eastAsia="Calibri" w:hAnsi="Calibri"/>
          <w:i/>
          <w:iCs/>
          <w:color w:val="243049"/>
          <w:sz w:val="20"/>
          <w:szCs w:val="20"/>
        </w:rPr>
        <w:t xml:space="preserve">How to use: replace the passages </w:t>
      </w:r>
      <w:r>
        <w:rPr>
          <w:rFonts w:ascii="Calibri" w:cs="Calibri" w:eastAsia="Calibri" w:hAnsi="Calibri"/>
          <w:b/>
          <w:bCs/>
          <w:i/>
          <w:iCs/>
          <w:color w:val="0D1B3D"/>
          <w:sz w:val="20"/>
          <w:szCs w:val="20"/>
          <w:highlight w:val="yellow"/>
          <w:highlightCs w:val="yellow"/>
        </w:rPr>
        <w:t xml:space="preserve">[in brackets]</w:t>
      </w:r>
      <w:r>
        <w:rPr>
          <w:rFonts w:ascii="Calibri" w:cs="Calibri" w:eastAsia="Calibri" w:hAnsi="Calibri"/>
          <w:i/>
          <w:iCs/>
          <w:color w:val="243049"/>
          <w:sz w:val="20"/>
          <w:szCs w:val="20"/>
        </w:rPr>
        <w:t xml:space="preserve">, remove what does not apply, then have the policy approved (management, employee representatives, legal advisor) before each user signs it.</w:t>
      </w:r>
    </w:p>
    <w:p>
      <w:pPr>
        <w:pStyle w:val="Heading1"/>
      </w:pPr>
      <w:r>
        <w:t xml:space="preserve">1. Purpose</w:t>
      </w:r>
    </w:p>
    <w:p>
      <w:pPr>
        <w:spacing w:after="140"/>
      </w:pPr>
      <w:r>
        <w:rPr>
          <w:rFonts w:ascii="Calibri" w:cs="Calibri" w:eastAsia="Calibri" w:hAnsi="Calibri"/>
          <w:color w:val="243049"/>
        </w:rPr>
        <w:t xml:space="preserve">This policy sets out the rules for using the IT and digital resources provided by </w:t>
      </w:r>
      <w:r>
        <w:rPr>
          <w:rFonts w:ascii="Calibri" w:cs="Calibri" w:eastAsia="Calibri" w:hAnsi="Calibri"/>
          <w:b/>
          <w:bCs/>
          <w:color w:val="0D1B3D"/>
          <w:highlight w:val="yellow"/>
          <w:highlightCs w:val="yellow"/>
        </w:rPr>
        <w:t xml:space="preserve">[COMPANY NAME]</w:t>
      </w:r>
      <w:r>
        <w:rPr>
          <w:rFonts w:ascii="Calibri" w:cs="Calibri" w:eastAsia="Calibri" w:hAnsi="Calibri"/>
          <w:color w:val="243049"/>
        </w:rPr>
        <w:t xml:space="preserve">. It aims to protect the data of the company, its clients and its employees, and to keep work tools running smoothly.</w:t>
      </w:r>
    </w:p>
    <w:p>
      <w:pPr>
        <w:pStyle w:val="Heading1"/>
      </w:pPr>
      <w:r>
        <w:t xml:space="preserve">2. Who it applies to</w:t>
      </w:r>
    </w:p>
    <w:p>
      <w:pPr>
        <w:spacing w:after="140"/>
      </w:pPr>
      <w:r>
        <w:rPr>
          <w:rFonts w:ascii="Calibri" w:cs="Calibri" w:eastAsia="Calibri" w:hAnsi="Calibri"/>
          <w:color w:val="243049"/>
        </w:rPr>
        <w:t xml:space="preserve">It applies to anyone using </w:t>
      </w:r>
      <w:r>
        <w:rPr>
          <w:rFonts w:ascii="Calibri" w:cs="Calibri" w:eastAsia="Calibri" w:hAnsi="Calibri"/>
          <w:b/>
          <w:bCs/>
          <w:color w:val="0D1B3D"/>
          <w:highlight w:val="yellow"/>
          <w:highlightCs w:val="yellow"/>
        </w:rPr>
        <w:t xml:space="preserve">[COMPANY NAME]</w:t>
      </w:r>
      <w:r>
        <w:rPr>
          <w:rFonts w:ascii="Calibri" w:cs="Calibri" w:eastAsia="Calibri" w:hAnsi="Calibri"/>
          <w:color w:val="243049"/>
        </w:rPr>
        <w:t xml:space="preserve"> tools: employees, interns, temporary staff, contractors and authorized visitors, on site and when working remotely.</w:t>
      </w:r>
    </w:p>
    <w:p>
      <w:pPr>
        <w:pStyle w:val="Heading1"/>
      </w:pPr>
      <w:r>
        <w:t xml:space="preserve">3. Accounts and passwords</w:t>
      </w:r>
    </w:p>
    <w:p>
      <w:pPr>
        <w:pStyle w:val="ListParagraph"/>
        <w:numPr>
          <w:ilvl w:val="0"/>
          <w:numId w:val="2"/>
        </w:numPr>
        <w:spacing w:after="80"/>
      </w:pPr>
      <w:r>
        <w:rPr>
          <w:rFonts w:ascii="Calibri" w:cs="Calibri" w:eastAsia="Calibri" w:hAnsi="Calibri"/>
          <w:color w:val="243049"/>
        </w:rPr>
        <w:t xml:space="preserve">Each user has a personal account. Sharing credentials or using a colleague’s account is not allowed.</w:t>
      </w:r>
    </w:p>
    <w:p>
      <w:pPr>
        <w:pStyle w:val="ListParagraph"/>
        <w:numPr>
          <w:ilvl w:val="0"/>
          <w:numId w:val="2"/>
        </w:numPr>
        <w:spacing w:after="80"/>
      </w:pPr>
      <w:r>
        <w:rPr>
          <w:rFonts w:ascii="Calibri" w:cs="Calibri" w:eastAsia="Calibri" w:hAnsi="Calibri"/>
          <w:color w:val="243049"/>
        </w:rPr>
        <w:t xml:space="preserve">Multi-factor authentication (code or approval on a smartphone) is mandatory for email and online applications.</w:t>
      </w:r>
    </w:p>
    <w:p>
      <w:pPr>
        <w:pStyle w:val="ListParagraph"/>
        <w:numPr>
          <w:ilvl w:val="0"/>
          <w:numId w:val="2"/>
        </w:numPr>
        <w:spacing w:after="80"/>
      </w:pPr>
      <w:r>
        <w:rPr>
          <w:rFonts w:ascii="Calibri" w:cs="Calibri" w:eastAsia="Calibri" w:hAnsi="Calibri"/>
          <w:color w:val="243049"/>
        </w:rPr>
        <w:t xml:space="preserve">Passwords are at least </w:t>
      </w:r>
      <w:r>
        <w:rPr>
          <w:rFonts w:ascii="Calibri" w:cs="Calibri" w:eastAsia="Calibri" w:hAnsi="Calibri"/>
          <w:b/>
          <w:bCs/>
          <w:color w:val="0D1B3D"/>
          <w:highlight w:val="yellow"/>
          <w:highlightCs w:val="yellow"/>
        </w:rPr>
        <w:t xml:space="preserve">[12]</w:t>
      </w:r>
      <w:r>
        <w:rPr>
          <w:rFonts w:ascii="Calibri" w:cs="Calibri" w:eastAsia="Calibri" w:hAnsi="Calibri"/>
          <w:color w:val="243049"/>
        </w:rPr>
        <w:t xml:space="preserve"> characters long, unique to each service and stored in the password manager provided by the company.</w:t>
      </w:r>
    </w:p>
    <w:p>
      <w:pPr>
        <w:pStyle w:val="ListParagraph"/>
        <w:numPr>
          <w:ilvl w:val="0"/>
          <w:numId w:val="2"/>
        </w:numPr>
        <w:spacing w:after="80"/>
      </w:pPr>
      <w:r>
        <w:rPr>
          <w:rFonts w:ascii="Calibri" w:cs="Calibri" w:eastAsia="Calibri" w:hAnsi="Calibri"/>
          <w:color w:val="243049"/>
        </w:rPr>
        <w:t xml:space="preserve">Users lock their session whenever they leave their workstation (Windows + L keys).</w:t>
      </w:r>
    </w:p>
    <w:p>
      <w:pPr>
        <w:pStyle w:val="Heading1"/>
      </w:pPr>
      <w:r>
        <w:t xml:space="preserve">4. Email and internet</w:t>
      </w:r>
    </w:p>
    <w:p>
      <w:pPr>
        <w:pStyle w:val="ListParagraph"/>
        <w:numPr>
          <w:ilvl w:val="0"/>
          <w:numId w:val="2"/>
        </w:numPr>
        <w:spacing w:after="80"/>
      </w:pPr>
      <w:r>
        <w:rPr>
          <w:rFonts w:ascii="Calibri" w:cs="Calibri" w:eastAsia="Calibri" w:hAnsi="Calibri"/>
          <w:color w:val="243049"/>
        </w:rPr>
        <w:t xml:space="preserve">Email and internet access are provided for business use. Occasional, reasonable personal use is tolerated if it does not affect work.</w:t>
      </w:r>
    </w:p>
    <w:p>
      <w:pPr>
        <w:pStyle w:val="ListParagraph"/>
        <w:numPr>
          <w:ilvl w:val="0"/>
          <w:numId w:val="2"/>
        </w:numPr>
        <w:spacing w:after="80"/>
      </w:pPr>
      <w:r>
        <w:rPr>
          <w:rFonts w:ascii="Calibri" w:cs="Calibri" w:eastAsia="Calibri" w:hAnsi="Calibri"/>
          <w:color w:val="243049"/>
        </w:rPr>
        <w:t xml:space="preserve">Before opening an attachment or clicking a link, users check the sender and are wary of urgent, unusual or payment-related messages.</w:t>
      </w:r>
    </w:p>
    <w:p>
      <w:pPr>
        <w:pStyle w:val="ListParagraph"/>
        <w:numPr>
          <w:ilvl w:val="0"/>
          <w:numId w:val="2"/>
        </w:numPr>
        <w:spacing w:after="80"/>
      </w:pPr>
      <w:r>
        <w:rPr>
          <w:rFonts w:ascii="Calibri" w:cs="Calibri" w:eastAsia="Calibri" w:hAnsi="Calibri"/>
          <w:color w:val="243049"/>
        </w:rPr>
        <w:t xml:space="preserve">Any suspicious message is reported to </w:t>
      </w:r>
      <w:r>
        <w:rPr>
          <w:rFonts w:ascii="Calibri" w:cs="Calibri" w:eastAsia="Calibri" w:hAnsi="Calibri"/>
          <w:b/>
          <w:bCs/>
          <w:color w:val="0D1B3D"/>
          <w:highlight w:val="yellow"/>
          <w:highlightCs w:val="yellow"/>
        </w:rPr>
        <w:t xml:space="preserve">[IT CONTACT]</w:t>
      </w:r>
      <w:r>
        <w:rPr>
          <w:rFonts w:ascii="Calibri" w:cs="Calibri" w:eastAsia="Calibri" w:hAnsi="Calibri"/>
          <w:color w:val="243049"/>
        </w:rPr>
        <w:t xml:space="preserve">, without replying to it or forwarding it to colleagues.</w:t>
      </w:r>
    </w:p>
    <w:p>
      <w:pPr>
        <w:pStyle w:val="ListParagraph"/>
        <w:numPr>
          <w:ilvl w:val="0"/>
          <w:numId w:val="2"/>
        </w:numPr>
        <w:spacing w:after="80"/>
      </w:pPr>
      <w:r>
        <w:rPr>
          <w:rFonts w:ascii="Calibri" w:cs="Calibri" w:eastAsia="Calibri" w:hAnsi="Calibri"/>
          <w:color w:val="243049"/>
        </w:rPr>
        <w:t xml:space="preserve">Visiting illegal websites or sites that could harm the company’s image is not allowed.</w:t>
      </w:r>
    </w:p>
    <w:p>
      <w:pPr>
        <w:pStyle w:val="Heading1"/>
      </w:pPr>
      <w:r>
        <w:t xml:space="preserve">5. Workstations and mobile devices</w:t>
      </w:r>
    </w:p>
    <w:p>
      <w:pPr>
        <w:pStyle w:val="ListParagraph"/>
        <w:numPr>
          <w:ilvl w:val="0"/>
          <w:numId w:val="2"/>
        </w:numPr>
        <w:spacing w:after="80"/>
      </w:pPr>
      <w:r>
        <w:rPr>
          <w:rFonts w:ascii="Calibri" w:cs="Calibri" w:eastAsia="Calibri" w:hAnsi="Calibri"/>
          <w:color w:val="243049"/>
        </w:rPr>
        <w:t xml:space="preserve">Only software supplied or approved by </w:t>
      </w:r>
      <w:r>
        <w:rPr>
          <w:rFonts w:ascii="Calibri" w:cs="Calibri" w:eastAsia="Calibri" w:hAnsi="Calibri"/>
          <w:b/>
          <w:bCs/>
          <w:color w:val="0D1B3D"/>
          <w:highlight w:val="yellow"/>
          <w:highlightCs w:val="yellow"/>
        </w:rPr>
        <w:t xml:space="preserve">[IT CONTACT]</w:t>
      </w:r>
      <w:r>
        <w:rPr>
          <w:rFonts w:ascii="Calibri" w:cs="Calibri" w:eastAsia="Calibri" w:hAnsi="Calibri"/>
          <w:color w:val="243049"/>
        </w:rPr>
        <w:t xml:space="preserve"> may be installed.</w:t>
      </w:r>
    </w:p>
    <w:p>
      <w:pPr>
        <w:pStyle w:val="ListParagraph"/>
        <w:numPr>
          <w:ilvl w:val="0"/>
          <w:numId w:val="2"/>
        </w:numPr>
        <w:spacing w:after="80"/>
      </w:pPr>
      <w:r>
        <w:rPr>
          <w:rFonts w:ascii="Calibri" w:cs="Calibri" w:eastAsia="Calibri" w:hAnsi="Calibri"/>
          <w:color w:val="243049"/>
        </w:rPr>
        <w:t xml:space="preserve">Security updates must not be postponed or disabled.</w:t>
      </w:r>
    </w:p>
    <w:p>
      <w:pPr>
        <w:pStyle w:val="ListParagraph"/>
        <w:numPr>
          <w:ilvl w:val="0"/>
          <w:numId w:val="2"/>
        </w:numPr>
        <w:spacing w:after="80"/>
      </w:pPr>
      <w:r>
        <w:rPr>
          <w:rFonts w:ascii="Calibri" w:cs="Calibri" w:eastAsia="Calibri" w:hAnsi="Calibri"/>
          <w:color w:val="243049"/>
        </w:rPr>
        <w:t xml:space="preserve">Business laptops and smartphones are protected by a code and encrypted. Loss or theft is reported immediately.</w:t>
      </w:r>
    </w:p>
    <w:p>
      <w:pPr>
        <w:pStyle w:val="ListParagraph"/>
        <w:numPr>
          <w:ilvl w:val="0"/>
          <w:numId w:val="2"/>
        </w:numPr>
        <w:spacing w:after="80"/>
      </w:pPr>
      <w:r>
        <w:rPr>
          <w:rFonts w:ascii="Calibri" w:cs="Calibri" w:eastAsia="Calibri" w:hAnsi="Calibri"/>
          <w:color w:val="243049"/>
        </w:rPr>
        <w:t xml:space="preserve">Using a personal device for work requires the approval of </w:t>
      </w:r>
      <w:r>
        <w:rPr>
          <w:rFonts w:ascii="Calibri" w:cs="Calibri" w:eastAsia="Calibri" w:hAnsi="Calibri"/>
          <w:b/>
          <w:bCs/>
          <w:color w:val="0D1B3D"/>
          <w:highlight w:val="yellow"/>
          <w:highlightCs w:val="yellow"/>
        </w:rPr>
        <w:t xml:space="preserve">[IT CONTACT]</w:t>
      </w:r>
      <w:r>
        <w:rPr>
          <w:rFonts w:ascii="Calibri" w:cs="Calibri" w:eastAsia="Calibri" w:hAnsi="Calibri"/>
          <w:color w:val="243049"/>
        </w:rPr>
        <w:t xml:space="preserve"> and compliance with the same rules.</w:t>
      </w:r>
    </w:p>
    <w:p>
      <w:pPr>
        <w:pStyle w:val="Heading1"/>
      </w:pPr>
      <w:r>
        <w:t xml:space="preserve">6. Data and confidentiality</w:t>
      </w:r>
    </w:p>
    <w:p>
      <w:pPr>
        <w:pStyle w:val="ListParagraph"/>
        <w:numPr>
          <w:ilvl w:val="0"/>
          <w:numId w:val="2"/>
        </w:numPr>
        <w:spacing w:after="80"/>
      </w:pPr>
      <w:r>
        <w:rPr>
          <w:rFonts w:ascii="Calibri" w:cs="Calibri" w:eastAsia="Calibri" w:hAnsi="Calibri"/>
          <w:color w:val="243049"/>
        </w:rPr>
        <w:t xml:space="preserve">Business documents are saved in the designated locations (</w:t>
      </w:r>
      <w:r>
        <w:rPr>
          <w:rFonts w:ascii="Calibri" w:cs="Calibri" w:eastAsia="Calibri" w:hAnsi="Calibri"/>
          <w:b/>
          <w:bCs/>
          <w:color w:val="0D1B3D"/>
          <w:highlight w:val="yellow"/>
          <w:highlightCs w:val="yellow"/>
        </w:rPr>
        <w:t xml:space="preserve">[ONEDRIVE / SHAREPOINT / SERVER]</w:t>
      </w:r>
      <w:r>
        <w:rPr>
          <w:rFonts w:ascii="Calibri" w:cs="Calibri" w:eastAsia="Calibri" w:hAnsi="Calibri"/>
          <w:color w:val="243049"/>
        </w:rPr>
        <w:t xml:space="preserve">), which are backed up. They are not kept on USB sticks or personal services.</w:t>
      </w:r>
    </w:p>
    <w:p>
      <w:pPr>
        <w:pStyle w:val="ListParagraph"/>
        <w:numPr>
          <w:ilvl w:val="0"/>
          <w:numId w:val="2"/>
        </w:numPr>
        <w:spacing w:after="80"/>
      </w:pPr>
      <w:r>
        <w:rPr>
          <w:rFonts w:ascii="Calibri" w:cs="Calibri" w:eastAsia="Calibri" w:hAnsi="Calibri"/>
          <w:color w:val="243049"/>
        </w:rPr>
        <w:t xml:space="preserve">Documents are shared externally using the company’s tools, limiting access to the people concerned.</w:t>
      </w:r>
    </w:p>
    <w:p>
      <w:pPr>
        <w:pStyle w:val="ListParagraph"/>
        <w:numPr>
          <w:ilvl w:val="0"/>
          <w:numId w:val="2"/>
        </w:numPr>
        <w:spacing w:after="80"/>
      </w:pPr>
      <w:r>
        <w:rPr>
          <w:rFonts w:ascii="Calibri" w:cs="Calibri" w:eastAsia="Calibri" w:hAnsi="Calibri"/>
          <w:color w:val="243049"/>
        </w:rPr>
        <w:t xml:space="preserve">Personal data (clients, employees, applicants) is processed in accordance with applicable regulations: GDPR in Europe, Law No. 2024/017 on the protection of personal data in Cameroon.</w:t>
      </w:r>
    </w:p>
    <w:p>
      <w:pPr>
        <w:pStyle w:val="ListParagraph"/>
        <w:numPr>
          <w:ilvl w:val="0"/>
          <w:numId w:val="2"/>
        </w:numPr>
        <w:spacing w:after="80"/>
      </w:pPr>
      <w:r>
        <w:rPr>
          <w:rFonts w:ascii="Calibri" w:cs="Calibri" w:eastAsia="Calibri" w:hAnsi="Calibri"/>
          <w:color w:val="243049"/>
        </w:rPr>
        <w:t xml:space="preserve">Users respect the confidentiality of the information they have access to, including after they leave.</w:t>
      </w:r>
    </w:p>
    <w:p>
      <w:pPr>
        <w:pStyle w:val="Heading1"/>
      </w:pPr>
      <w:r>
        <w:t xml:space="preserve">7. Remote work and travel</w:t>
      </w:r>
    </w:p>
    <w:p>
      <w:pPr>
        <w:pStyle w:val="ListParagraph"/>
        <w:numPr>
          <w:ilvl w:val="0"/>
          <w:numId w:val="2"/>
        </w:numPr>
        <w:spacing w:after="80"/>
      </w:pPr>
      <w:r>
        <w:rPr>
          <w:rFonts w:ascii="Calibri" w:cs="Calibri" w:eastAsia="Calibri" w:hAnsi="Calibri"/>
          <w:color w:val="243049"/>
        </w:rPr>
        <w:t xml:space="preserve">On public Wi-Fi, users connect through </w:t>
      </w:r>
      <w:r>
        <w:rPr>
          <w:rFonts w:ascii="Calibri" w:cs="Calibri" w:eastAsia="Calibri" w:hAnsi="Calibri"/>
          <w:b/>
          <w:bCs/>
          <w:color w:val="0D1B3D"/>
          <w:highlight w:val="yellow"/>
          <w:highlightCs w:val="yellow"/>
        </w:rPr>
        <w:t xml:space="preserve">[THE COMPANY VPN]</w:t>
      </w:r>
      <w:r>
        <w:rPr>
          <w:rFonts w:ascii="Calibri" w:cs="Calibri" w:eastAsia="Calibri" w:hAnsi="Calibri"/>
          <w:color w:val="243049"/>
        </w:rPr>
        <w:t xml:space="preserve"> or their smartphone’s hotspot.</w:t>
      </w:r>
    </w:p>
    <w:p>
      <w:pPr>
        <w:pStyle w:val="ListParagraph"/>
        <w:numPr>
          <w:ilvl w:val="0"/>
          <w:numId w:val="2"/>
        </w:numPr>
        <w:spacing w:after="80"/>
      </w:pPr>
      <w:r>
        <w:rPr>
          <w:rFonts w:ascii="Calibri" w:cs="Calibri" w:eastAsia="Calibri" w:hAnsi="Calibri"/>
          <w:color w:val="243049"/>
        </w:rPr>
        <w:t xml:space="preserve">They make sure their screen and conversations cannot be seen or overheard by others.</w:t>
      </w:r>
    </w:p>
    <w:p>
      <w:pPr>
        <w:pStyle w:val="Heading1"/>
      </w:pPr>
      <w:r>
        <w:t xml:space="preserve">8. Reporting an incident</w:t>
      </w:r>
    </w:p>
    <w:p>
      <w:pPr>
        <w:spacing w:after="140"/>
      </w:pPr>
      <w:r>
        <w:rPr>
          <w:rFonts w:ascii="Calibri" w:cs="Calibri" w:eastAsia="Calibri" w:hAnsi="Calibri"/>
          <w:color w:val="243049"/>
        </w:rPr>
        <w:t xml:space="preserve">Any incident or doubt (suspicious message, lost equipment, unusual computer behaviour, inaccessible file) is reported immediately to </w:t>
      </w:r>
      <w:r>
        <w:rPr>
          <w:rFonts w:ascii="Calibri" w:cs="Calibri" w:eastAsia="Calibri" w:hAnsi="Calibri"/>
          <w:b/>
          <w:bCs/>
          <w:color w:val="0D1B3D"/>
          <w:highlight w:val="yellow"/>
          <w:highlightCs w:val="yellow"/>
        </w:rPr>
        <w:t xml:space="preserve">[IT CONTACT – PHONE – EMAIL]</w:t>
      </w:r>
      <w:r>
        <w:rPr>
          <w:rFonts w:ascii="Calibri" w:cs="Calibri" w:eastAsia="Calibri" w:hAnsi="Calibri"/>
          <w:color w:val="243049"/>
        </w:rPr>
        <w:t xml:space="preserve">. Reporting quickly is never held against anyone: it is what limits the damage.</w:t>
      </w:r>
    </w:p>
    <w:p>
      <w:pPr>
        <w:pStyle w:val="Heading1"/>
      </w:pPr>
      <w:r>
        <w:t xml:space="preserve">9. Monitoring and sanctions</w:t>
      </w:r>
    </w:p>
    <w:p>
      <w:pPr>
        <w:spacing w:after="140"/>
      </w:pPr>
      <w:r>
        <w:rPr>
          <w:rFonts w:ascii="Calibri" w:cs="Calibri" w:eastAsia="Calibri" w:hAnsi="Calibri"/>
          <w:b/>
          <w:bCs/>
          <w:color w:val="0D1B3D"/>
          <w:highlight w:val="yellow"/>
          <w:highlightCs w:val="yellow"/>
        </w:rPr>
        <w:t xml:space="preserve">[COMPANY NAME]</w:t>
      </w:r>
      <w:r>
        <w:rPr>
          <w:rFonts w:ascii="Calibri" w:cs="Calibri" w:eastAsia="Calibri" w:hAnsi="Calibri"/>
          <w:color w:val="243049"/>
        </w:rPr>
        <w:t xml:space="preserve"> may monitor the use of its tools in accordance with the law and users’ privacy, and users are informed of this. Failure to comply with this policy may lead to suspended access and to the sanctions set out in the company rules.</w:t>
      </w:r>
    </w:p>
    <w:p>
      <w:pPr>
        <w:pStyle w:val="Heading1"/>
      </w:pPr>
      <w:r>
        <w:t xml:space="preserve">10. User acknowledgement</w:t>
      </w:r>
    </w:p>
    <w:p>
      <w:pPr>
        <w:spacing w:after="140"/>
      </w:pPr>
      <w:r>
        <w:rPr>
          <w:rFonts w:ascii="Calibri" w:cs="Calibri" w:eastAsia="Calibri" w:hAnsi="Calibri"/>
          <w:color w:val="243049"/>
        </w:rPr>
        <w:t xml:space="preserve">I acknowledge that I have read this policy and agree to comply with it.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6747"/>
      </w:tblGrid>
      <w:tr>
        <w:trPr>
          <w:trHeight w:val="620" w:hRule="atLeast"/>
        </w:trPr>
        <w:tc>
          <w:tcPr>
            <w:tcW w:type="dxa" w:w="2891"/>
            <w:tcBorders>
              <w:top w:val="single" w:color="D0D5DD" w:sz="4"/>
              <w:left w:val="single" w:color="D0D5DD" w:sz="4"/>
              <w:bottom w:val="single" w:color="D0D5DD" w:sz="4"/>
              <w:right w:val="single" w:color="D0D5DD" w:sz="4"/>
            </w:tcBorders>
            <w:shd w:fill="F5F7FA" w:color="auto" w:val="clear"/>
            <w:tcMar>
              <w:top w:type="dxa" w:w="80"/>
              <w:left w:type="dxa" w:w="110"/>
              <w:bottom w:type="dxa" w:w="80"/>
              <w:right w:type="dxa" w:w="110"/>
            </w:tcMar>
          </w:tcPr>
          <w:p>
            <w:r>
              <w:rPr>
                <w:rFonts w:ascii="Calibri" w:cs="Calibri" w:eastAsia="Calibri" w:hAnsi="Calibri"/>
                <w:b/>
                <w:bCs/>
                <w:color w:val="0D1B3D"/>
                <w:sz w:val="20"/>
                <w:szCs w:val="20"/>
              </w:rPr>
              <w:t xml:space="preserve">Full name</w:t>
            </w:r>
          </w:p>
        </w:tc>
        <w:tc>
          <w:tcPr>
            <w:tcW w:type="dxa" w:w="6747"/>
            <w:tcBorders>
              <w:top w:val="single" w:color="D0D5DD" w:sz="4"/>
              <w:left w:val="single" w:color="D0D5DD" w:sz="4"/>
              <w:bottom w:val="single" w:color="D0D5DD" w:sz="4"/>
              <w:right w:val="single" w:color="D0D5DD" w:sz="4"/>
            </w:tcBorders>
          </w:tcPr>
          <w:p>
            <w:r>
              <w:t xml:space="preserve"/>
            </w:r>
          </w:p>
        </w:tc>
      </w:tr>
      <w:tr>
        <w:trPr>
          <w:trHeight w:val="620" w:hRule="atLeast"/>
        </w:trPr>
        <w:tc>
          <w:tcPr>
            <w:tcW w:type="dxa" w:w="2891"/>
            <w:tcBorders>
              <w:top w:val="single" w:color="D0D5DD" w:sz="4"/>
              <w:left w:val="single" w:color="D0D5DD" w:sz="4"/>
              <w:bottom w:val="single" w:color="D0D5DD" w:sz="4"/>
              <w:right w:val="single" w:color="D0D5DD" w:sz="4"/>
            </w:tcBorders>
            <w:shd w:fill="F5F7FA" w:color="auto" w:val="clear"/>
            <w:tcMar>
              <w:top w:type="dxa" w:w="80"/>
              <w:left w:type="dxa" w:w="110"/>
              <w:bottom w:type="dxa" w:w="80"/>
              <w:right w:type="dxa" w:w="110"/>
            </w:tcMar>
          </w:tcPr>
          <w:p>
            <w:r>
              <w:rPr>
                <w:rFonts w:ascii="Calibri" w:cs="Calibri" w:eastAsia="Calibri" w:hAnsi="Calibri"/>
                <w:b/>
                <w:bCs/>
                <w:color w:val="0D1B3D"/>
                <w:sz w:val="20"/>
                <w:szCs w:val="20"/>
              </w:rPr>
              <w:t xml:space="preserve">Position</w:t>
            </w:r>
          </w:p>
        </w:tc>
        <w:tc>
          <w:tcPr>
            <w:tcW w:type="dxa" w:w="6747"/>
            <w:tcBorders>
              <w:top w:val="single" w:color="D0D5DD" w:sz="4"/>
              <w:left w:val="single" w:color="D0D5DD" w:sz="4"/>
              <w:bottom w:val="single" w:color="D0D5DD" w:sz="4"/>
              <w:right w:val="single" w:color="D0D5DD" w:sz="4"/>
            </w:tcBorders>
          </w:tcPr>
          <w:p>
            <w:r>
              <w:t xml:space="preserve"/>
            </w:r>
          </w:p>
        </w:tc>
      </w:tr>
      <w:tr>
        <w:trPr>
          <w:trHeight w:val="620" w:hRule="atLeast"/>
        </w:trPr>
        <w:tc>
          <w:tcPr>
            <w:tcW w:type="dxa" w:w="2891"/>
            <w:tcBorders>
              <w:top w:val="single" w:color="D0D5DD" w:sz="4"/>
              <w:left w:val="single" w:color="D0D5DD" w:sz="4"/>
              <w:bottom w:val="single" w:color="D0D5DD" w:sz="4"/>
              <w:right w:val="single" w:color="D0D5DD" w:sz="4"/>
            </w:tcBorders>
            <w:shd w:fill="F5F7FA" w:color="auto" w:val="clear"/>
            <w:tcMar>
              <w:top w:type="dxa" w:w="80"/>
              <w:left w:type="dxa" w:w="110"/>
              <w:bottom w:type="dxa" w:w="80"/>
              <w:right w:type="dxa" w:w="110"/>
            </w:tcMar>
          </w:tcPr>
          <w:p>
            <w:r>
              <w:rPr>
                <w:rFonts w:ascii="Calibri" w:cs="Calibri" w:eastAsia="Calibri" w:hAnsi="Calibri"/>
                <w:b/>
                <w:bCs/>
                <w:color w:val="0D1B3D"/>
                <w:sz w:val="20"/>
                <w:szCs w:val="20"/>
              </w:rPr>
              <w:t xml:space="preserve">Date</w:t>
            </w:r>
          </w:p>
        </w:tc>
        <w:tc>
          <w:tcPr>
            <w:tcW w:type="dxa" w:w="6747"/>
            <w:tcBorders>
              <w:top w:val="single" w:color="D0D5DD" w:sz="4"/>
              <w:left w:val="single" w:color="D0D5DD" w:sz="4"/>
              <w:bottom w:val="single" w:color="D0D5DD" w:sz="4"/>
              <w:right w:val="single" w:color="D0D5DD" w:sz="4"/>
            </w:tcBorders>
          </w:tcPr>
          <w:p>
            <w:r>
              <w:t xml:space="preserve"/>
            </w:r>
          </w:p>
        </w:tc>
      </w:tr>
      <w:tr>
        <w:trPr>
          <w:trHeight w:val="620" w:hRule="atLeast"/>
        </w:trPr>
        <w:tc>
          <w:tcPr>
            <w:tcW w:type="dxa" w:w="2891"/>
            <w:tcBorders>
              <w:top w:val="single" w:color="D0D5DD" w:sz="4"/>
              <w:left w:val="single" w:color="D0D5DD" w:sz="4"/>
              <w:bottom w:val="single" w:color="D0D5DD" w:sz="4"/>
              <w:right w:val="single" w:color="D0D5DD" w:sz="4"/>
            </w:tcBorders>
            <w:shd w:fill="F5F7FA" w:color="auto" w:val="clear"/>
            <w:tcMar>
              <w:top w:type="dxa" w:w="80"/>
              <w:left w:type="dxa" w:w="110"/>
              <w:bottom w:type="dxa" w:w="80"/>
              <w:right w:type="dxa" w:w="110"/>
            </w:tcMar>
          </w:tcPr>
          <w:p>
            <w:r>
              <w:rPr>
                <w:rFonts w:ascii="Calibri" w:cs="Calibri" w:eastAsia="Calibri" w:hAnsi="Calibri"/>
                <w:b/>
                <w:bCs/>
                <w:color w:val="0D1B3D"/>
                <w:sz w:val="20"/>
                <w:szCs w:val="20"/>
              </w:rPr>
              <w:t xml:space="preserve">Signature</w:t>
            </w:r>
          </w:p>
        </w:tc>
        <w:tc>
          <w:tcPr>
            <w:tcW w:type="dxa" w:w="6747"/>
            <w:tcBorders>
              <w:top w:val="single" w:color="D0D5DD" w:sz="4"/>
              <w:left w:val="single" w:color="D0D5DD" w:sz="4"/>
              <w:bottom w:val="single" w:color="D0D5DD" w:sz="4"/>
              <w:right w:val="single" w:color="D0D5DD" w:sz="4"/>
            </w:tcBorders>
          </w:tcPr>
          <w:p>
            <w:r>
              <w:t xml:space="preserve"/>
            </w:r>
          </w:p>
        </w:tc>
      </w:tr>
    </w:tbl>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A6478"/>
        <w:sz w:val="16"/>
        <w:szCs w:val="16"/>
      </w:rPr>
      <w:t xml:space="preserve">Template provided by 7IT Group · www.7itgroup.com · contact@7itgroup.com · page </w:t>
    </w:r>
    <w:r>
      <w:rPr>
        <w:rFonts w:ascii="Calibri" w:cs="Calibri" w:eastAsia="Calibri" w:hAnsi="Calibri"/>
        <w:color w:val="5A647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5A6478"/>
        <w:sz w:val="16"/>
        <w:szCs w:val="16"/>
      </w:rPr>
      <w:t xml:space="preserve">7IT Group · IT Acceptable Use Policy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00A65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43049"/>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pBdr>
        <w:bottom w:val="single" w:color="00A651" w:sz="6" w:space="4"/>
      </w:pBdr>
      <w:spacing w:after="140" w:before="320"/>
      <w:outlineLvl w:val="0"/>
    </w:pPr>
    <w:rPr>
      <w:rFonts w:ascii="Calibri" w:cs="Calibri" w:eastAsia="Calibri" w:hAnsi="Calibri"/>
      <w:b/>
      <w:bCs/>
      <w:color w:val="0D1B3D"/>
      <w:sz w:val="28"/>
      <w:szCs w:val="28"/>
    </w:rPr>
  </w:style>
  <w:style w:type="paragraph" w:styleId="Heading2">
    <w:name w:val="Heading 2"/>
    <w:basedOn w:val="Normal"/>
    <w:next w:val="Normal"/>
    <w:qFormat/>
    <w:pPr>
      <w:keepNext/>
      <w:spacing w:after="100" w:before="200"/>
      <w:outlineLvl w:val="1"/>
    </w:pPr>
    <w:rPr>
      <w:rFonts w:ascii="Calibri" w:cs="Calibri" w:eastAsia="Calibri" w:hAnsi="Calibri"/>
      <w:b/>
      <w:bCs/>
      <w:color w:val="00843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 Acceptable Use Policy</dc:title>
  <dc:creator>7IT Group</dc:creator>
  <dc:description>Template to adapt to your organization</dc:description>
  <cp:lastModifiedBy>Un-named</cp:lastModifiedBy>
  <cp:revision>1</cp:revision>
  <dcterms:created xsi:type="dcterms:W3CDTF">2026-09-26T21:55:11.111Z</dcterms:created>
  <dcterms:modified xsi:type="dcterms:W3CDTF">2026-09-26T21:55:11.111Z</dcterms:modified>
</cp:coreProperties>
</file>

<file path=docProps/custom.xml><?xml version="1.0" encoding="utf-8"?>
<Properties xmlns="http://schemas.openxmlformats.org/officeDocument/2006/custom-properties" xmlns:vt="http://schemas.openxmlformats.org/officeDocument/2006/docPropsVTypes"/>
</file>